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Образовательная программа «6</w:t>
      </w:r>
      <w:r>
        <w:rPr>
          <w:b/>
          <w:sz w:val="20"/>
          <w:szCs w:val="20"/>
          <w:lang w:val="en-US"/>
        </w:rPr>
        <w:t>B</w:t>
      </w:r>
      <w:r>
        <w:rPr>
          <w:b/>
          <w:sz w:val="20"/>
          <w:szCs w:val="20"/>
        </w:rPr>
        <w:t xml:space="preserve">01101-Педагогика и психология»,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  <w:lang w:val="en-US"/>
        </w:rPr>
        <w:t>B</w:t>
      </w:r>
      <w:r>
        <w:rPr>
          <w:b/>
          <w:sz w:val="20"/>
          <w:szCs w:val="20"/>
        </w:rPr>
        <w:t>01901-Социальная педагогика и самопознание»</w:t>
      </w:r>
    </w:p>
    <w:p>
      <w:pPr>
        <w:pStyle w:val="Normal"/>
        <w:ind w:left="-851" w:hanging="0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</w:r>
    </w:p>
    <w:tbl>
      <w:tblPr>
        <w:tblW w:w="10490" w:type="dxa"/>
        <w:jc w:val="left"/>
        <w:tblInd w:w="-856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0" w:noVBand="1" w:lastRow="0" w:firstColumn="0" w:lastColumn="0" w:noHBand="0" w:val="0400"/>
      </w:tblPr>
      <w:tblGrid>
        <w:gridCol w:w="1701"/>
        <w:gridCol w:w="1275"/>
        <w:gridCol w:w="994"/>
        <w:gridCol w:w="991"/>
        <w:gridCol w:w="1134"/>
        <w:gridCol w:w="709"/>
        <w:gridCol w:w="1418"/>
        <w:gridCol w:w="2267"/>
      </w:tblGrid>
      <w:tr>
        <w:trPr>
          <w:trHeight w:val="265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>
            <w:pPr>
              <w:pStyle w:val="Normal"/>
              <w:widowControl w:val="false"/>
              <w:rPr>
                <w:bCs/>
                <w:i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pStyle w:val="Normal"/>
              <w:widowControl w:val="false"/>
              <w:rPr>
                <w:bCs/>
                <w:i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rPr>
                <w:bCs/>
                <w:i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</w:r>
          </w:p>
        </w:tc>
      </w:tr>
      <w:tr>
        <w:trPr>
          <w:trHeight w:val="883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740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 w:cs="Calibri"/>
                <w:sz w:val="20"/>
                <w:szCs w:val="20"/>
                <w:lang w:eastAsia="ru-RU"/>
              </w:rPr>
            </w:pPr>
            <w:r>
              <w:rPr>
                <w:rFonts w:eastAsia="Calibri" w:cs="Calibri"/>
                <w:sz w:val="20"/>
                <w:szCs w:val="20"/>
                <w:lang w:eastAsia="ru-RU"/>
              </w:rPr>
              <w:t>TI</w:t>
            </w:r>
            <w:r>
              <w:rPr>
                <w:rFonts w:eastAsia="Calibri" w:cs="Calibri"/>
                <w:sz w:val="20"/>
                <w:szCs w:val="20"/>
                <w:lang w:val="en-US" w:eastAsia="ru-RU"/>
              </w:rPr>
              <w:t>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 w:eastAsia="ru-RU"/>
              </w:rPr>
              <w:t>3222</w:t>
            </w:r>
            <w:r>
              <w:rPr>
                <w:rFonts w:eastAsia="Calibri" w:cs="Calibri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 w:cs="Calibri"/>
                <w:bCs/>
                <w:sz w:val="20"/>
                <w:szCs w:val="20"/>
                <w:lang w:val="kk-KZ"/>
              </w:rPr>
              <w:t>Тьютор в инклюзивном образовании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Normaltextrun"/>
                <w:sz w:val="16"/>
                <w:szCs w:val="16"/>
                <w:shd w:fill="FFFFFF" w:val="clear"/>
                <w:lang w:val="kk-KZ"/>
              </w:rPr>
            </w:pPr>
            <w:r>
              <w:rPr>
                <w:rStyle w:val="Normaltextrun"/>
                <w:sz w:val="16"/>
                <w:szCs w:val="16"/>
                <w:shd w:fill="FFFFFF" w:val="clear"/>
                <w:lang w:val="kk-KZ"/>
              </w:rPr>
              <w:t>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</w:r>
          </w:p>
        </w:tc>
      </w:tr>
      <w:tr>
        <w:trPr>
          <w:trHeight w:val="225" w:hRule="atLeast"/>
        </w:trPr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bCs/>
                <w:i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>
            <w:pPr>
              <w:pStyle w:val="Normal"/>
              <w:widowControl w:val="false"/>
              <w:pBdr/>
              <w:rPr>
                <w:bCs/>
                <w:i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Профилирующие дисциплины. Компонент по выбору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Проблемно-методические, практико-ориентированные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Практические, интерактивные, мастер-классы, семинары с проблемным содержанием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письменный </w:t>
            </w:r>
            <w:r>
              <w:rPr>
                <w:sz w:val="20"/>
                <w:szCs w:val="20"/>
              </w:rPr>
              <w:t>традиционный экзамен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4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Махамбетова Ж.Т., 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</w:rPr>
              <w:t>., старший преподаватель</w:t>
            </w:r>
          </w:p>
        </w:tc>
        <w:tc>
          <w:tcPr>
            <w:tcW w:w="36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mzhamilya@mail.ru</w:t>
            </w:r>
          </w:p>
        </w:tc>
        <w:tc>
          <w:tcPr>
            <w:tcW w:w="36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+7 7753069205</w:t>
            </w:r>
          </w:p>
        </w:tc>
        <w:tc>
          <w:tcPr>
            <w:tcW w:w="36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>
            <w:pPr>
              <w:pStyle w:val="Normal"/>
              <w:widowControl w:val="fals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Eop"/>
                <w:color w:val="000000"/>
                <w:sz w:val="20"/>
                <w:szCs w:val="20"/>
                <w:shd w:fill="FFFFFF" w:val="clear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fill="FFFFFF" w:val="clear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fill="FFFFFF" w:val="clear"/>
              </w:rPr>
              <w:t> 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</w:tr>
      <w:tr>
        <w:trPr>
          <w:trHeight w:val="152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сформировать у студентов целостное, научное представление о содержании и специфике профессиональной  деятельности тьютора, а также  компетенции в области практической деятельности  тьютора в инклюзивном образовании.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реализовывать различные способы педагогического взаимодействия между всеми субъектами образовательной инклюзивной среды  </w:t>
            </w:r>
          </w:p>
          <w:p>
            <w:pPr>
              <w:pStyle w:val="Normal"/>
              <w:widowControl w:val="false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305" w:hanging="360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(индивидуальное и групповое взаимодействие с учениками с ООП, с их  родителями, учителями, специалистами, руководством);</w:t>
            </w:r>
          </w:p>
        </w:tc>
      </w:tr>
      <w:tr>
        <w:trPr>
          <w:trHeight w:val="152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510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305" w:hanging="3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Владеть историческими и теоретическими основами тьюторства.</w:t>
            </w:r>
          </w:p>
        </w:tc>
      </w:tr>
      <w:tr>
        <w:trPr>
          <w:trHeight w:val="152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1.3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Место и роль тьютора в системе инклюзивного образования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>
          <w:trHeight w:val="766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применять методики и техники психолого-педагогической  работы с детьми с ООП; 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анализировать современные модели деятельности тьютора в инклюзивном образовании.</w:t>
            </w:r>
          </w:p>
        </w:tc>
      </w:tr>
      <w:tr>
        <w:trPr>
          <w:trHeight w:val="694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определять эффективные приемы повышения  познавательного интереса у учащегося с ООП,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  <w:r>
              <w:rPr>
                <w:bCs/>
                <w:sz w:val="20"/>
                <w:szCs w:val="20"/>
              </w:rPr>
              <w:t>овладеть п</w:t>
            </w:r>
            <w:r>
              <w:rPr>
                <w:sz w:val="20"/>
                <w:szCs w:val="20"/>
              </w:rPr>
              <w:t>сихолого-педагогической готовностью к взаимодействию в условиях инклюзивного образования:</w:t>
            </w:r>
          </w:p>
        </w:tc>
      </w:tr>
      <w:tr>
        <w:trPr>
          <w:trHeight w:val="1140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моделировать траекторию индивидуальной образовательной деятельности учащихся с ООП;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применять</w:t>
            </w:r>
            <w:r>
              <w:rPr>
                <w:bCs/>
                <w:sz w:val="20"/>
                <w:szCs w:val="20"/>
              </w:rPr>
              <w:t xml:space="preserve"> системные компетенции тьютора по проектированию индивидуальных образ</w:t>
            </w:r>
            <w:r>
              <w:rPr>
                <w:bCs/>
                <w:sz w:val="20"/>
                <w:szCs w:val="20"/>
                <w:lang w:val="kk-KZ"/>
              </w:rPr>
              <w:t>овательных</w:t>
            </w:r>
            <w:r>
              <w:rPr>
                <w:bCs/>
                <w:sz w:val="20"/>
                <w:szCs w:val="20"/>
              </w:rPr>
              <w:t xml:space="preserve"> программ учащихся в инкл</w:t>
            </w:r>
            <w:r>
              <w:rPr>
                <w:bCs/>
                <w:sz w:val="20"/>
                <w:szCs w:val="20"/>
                <w:lang w:val="kk-KZ"/>
              </w:rPr>
              <w:t>юзивном</w:t>
            </w:r>
            <w:r>
              <w:rPr>
                <w:bCs/>
                <w:sz w:val="20"/>
                <w:szCs w:val="20"/>
              </w:rPr>
              <w:t xml:space="preserve"> образовании</w:t>
            </w:r>
          </w:p>
        </w:tc>
      </w:tr>
      <w:tr>
        <w:trPr>
          <w:trHeight w:val="76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оказывать консультативную поддержку обучающимся с ООП в реализации адаптированных образовательных программ;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знать специфику работы тьютора с «дважды особенными» одаренными детьми в инклюзивной среде:</w:t>
            </w:r>
          </w:p>
        </w:tc>
      </w:tr>
      <w:tr>
        <w:trPr>
          <w:trHeight w:val="76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>
              <w:rPr>
                <w:bCs/>
                <w:sz w:val="20"/>
                <w:szCs w:val="20"/>
              </w:rPr>
              <w:t xml:space="preserve"> профессиональные компетенции тьютора с родителями в условиях инклюзивного образования:</w:t>
            </w:r>
          </w:p>
        </w:tc>
      </w:tr>
      <w:tr>
        <w:trPr>
          <w:trHeight w:val="28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Инклюзивное образование</w:t>
            </w:r>
          </w:p>
        </w:tc>
      </w:tr>
      <w:tr>
        <w:trPr>
          <w:trHeight w:val="28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Инновационные технологии в деятельности тьютора по сопровождению учащихся с ООП в инклюзивнои образовании</w:t>
            </w:r>
          </w:p>
        </w:tc>
      </w:tr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rPr>
                <w:bCs/>
                <w:color w:val="FF0000"/>
                <w:sz w:val="20"/>
                <w:szCs w:val="20"/>
                <w:shd w:fill="FFFFFF" w:val="clear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Style w:val="Novaetext"/>
                <w:sz w:val="20"/>
                <w:szCs w:val="20"/>
                <w:lang w:val="en-US"/>
              </w:rPr>
              <w:t xml:space="preserve">1. Cameron C., Moss P. </w:t>
            </w:r>
            <w:r>
              <w:rPr>
                <w:rStyle w:val="Novaetext"/>
                <w:iCs/>
                <w:sz w:val="20"/>
                <w:szCs w:val="20"/>
                <w:lang w:val="en-US"/>
              </w:rPr>
              <w:t xml:space="preserve">Social Pedagogy and Working with Children and Young People. Where care and education meet. – NY.: </w:t>
            </w:r>
            <w:r>
              <w:rPr>
                <w:rStyle w:val="Novaetext"/>
                <w:sz w:val="20"/>
                <w:szCs w:val="20"/>
                <w:lang w:val="en-US"/>
              </w:rPr>
              <w:t>Gallaudet University Press: Jessica Kingsley Publishers, 2011. – 224 p.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rPr>
                <w:sz w:val="20"/>
                <w:szCs w:val="20"/>
              </w:rPr>
            </w:pPr>
            <w:r>
              <w:rPr>
                <w:rStyle w:val="Novaetext"/>
                <w:sz w:val="20"/>
                <w:szCs w:val="20"/>
              </w:rPr>
              <w:t>2. Магауова А.С., Махамбетова Ж.Т. Деятельность социального педагога в условиях инклюзивного образования: у</w:t>
            </w:r>
            <w:r>
              <w:rPr>
                <w:sz w:val="20"/>
                <w:szCs w:val="20"/>
              </w:rPr>
              <w:t xml:space="preserve">чеб.-метод. пос. </w:t>
            </w:r>
            <w:r>
              <w:rPr>
                <w:sz w:val="20"/>
                <w:szCs w:val="20"/>
                <w:lang w:val="kk-KZ"/>
              </w:rPr>
              <w:t xml:space="preserve">– Алматы: </w:t>
            </w:r>
            <w:r>
              <w:rPr>
                <w:sz w:val="20"/>
                <w:szCs w:val="20"/>
                <w:lang w:val="en-US"/>
              </w:rPr>
              <w:t>Qazaq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universitety</w:t>
            </w:r>
            <w:r>
              <w:rPr>
                <w:sz w:val="20"/>
                <w:szCs w:val="20"/>
              </w:rPr>
              <w:t>, 2020. – 188 с.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Карпенкова И.В. Тьютор в инклюзивной школе: сопровождение ребёнка с особенностями развития: из опыта работы. – Изд. 2-е, перер. и доп. – М.: АНО «Наш Солнечный Мир», 2017. – 116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Ковалева Т.М., Кобыща Е.И., Попова С.Ю. (Смолик), Теров А.А., Чередилина М.Ю. Профессия «тьютор». – М.: СФК-офис, 2012. – 246 с.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1" w:leader="none"/>
              </w:tabs>
              <w:rPr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Дополнительная</w:t>
            </w:r>
            <w:r>
              <w:rPr>
                <w:bCs/>
                <w:i/>
                <w:sz w:val="20"/>
                <w:szCs w:val="20"/>
                <w:lang w:val="en-US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Novaetext"/>
                <w:sz w:val="20"/>
                <w:szCs w:val="20"/>
                <w:lang w:val="en-US"/>
              </w:rPr>
              <w:t xml:space="preserve">1.Kay J. (2007). </w:t>
            </w:r>
            <w:r>
              <w:rPr>
                <w:rStyle w:val="Novaetext"/>
                <w:i/>
                <w:sz w:val="20"/>
                <w:szCs w:val="20"/>
                <w:lang w:val="en-US"/>
              </w:rPr>
              <w:t>Behavioural, Emotional and Social Difficulties</w:t>
            </w:r>
            <w:r>
              <w:rPr>
                <w:rStyle w:val="Novaetext"/>
                <w:sz w:val="20"/>
                <w:szCs w:val="20"/>
                <w:lang w:val="en-US"/>
              </w:rPr>
              <w:t xml:space="preserve">. </w:t>
            </w:r>
            <w:r>
              <w:rPr>
                <w:rStyle w:val="Novaetext"/>
                <w:i/>
                <w:sz w:val="20"/>
                <w:szCs w:val="20"/>
                <w:lang w:val="en-US"/>
              </w:rPr>
              <w:t>SEN in the yearly years</w:t>
            </w:r>
            <w:r>
              <w:rPr>
                <w:rStyle w:val="Novaetext"/>
                <w:sz w:val="20"/>
                <w:szCs w:val="20"/>
                <w:lang w:val="en-US"/>
              </w:rPr>
              <w:t>. Continuum International Publishing Group.p.160.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jc w:val="both"/>
              <w:rPr>
                <w:sz w:val="20"/>
                <w:szCs w:val="20"/>
              </w:rPr>
            </w:pPr>
            <w:r>
              <w:rPr>
                <w:rStyle w:val="Novaetext"/>
                <w:sz w:val="20"/>
                <w:szCs w:val="20"/>
              </w:rPr>
              <w:t>2.Махов А. П. Научно-практические основы формирования тьюторской позиции педагога: дис. … канд. пед. наук: 13.00.01. – Нижний Новгород: НГПУ им. К. Минина, 2012. – 186 с.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3.Магауова А.С., Таубаева Ш.Т., Кудайбергенова А.М., Мынбаева А.К. Педагогика аль-Фараби: учеб. пос. – Алматы: </w:t>
            </w:r>
            <w:r>
              <w:rPr>
                <w:sz w:val="20"/>
                <w:szCs w:val="20"/>
                <w:lang w:val="kk-KZ"/>
              </w:rPr>
              <w:t>Қазақ университеті</w:t>
            </w:r>
            <w:r>
              <w:rPr>
                <w:sz w:val="20"/>
                <w:szCs w:val="20"/>
              </w:rPr>
              <w:t>, 2021. – 166 c.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US" w:eastAsia="ru-RU"/>
              </w:rPr>
              <w:t xml:space="preserve"> Magauova, Zh.T. </w:t>
            </w:r>
            <w:r>
              <w:rPr>
                <w:sz w:val="20"/>
                <w:szCs w:val="20"/>
                <w:lang w:val="en-US"/>
              </w:rPr>
              <w:t>Makhambetova. -</w:t>
            </w:r>
            <w:r>
              <w:rPr>
                <w:sz w:val="20"/>
                <w:szCs w:val="20"/>
                <w:lang w:val="en-US" w:eastAsia="ru-RU"/>
              </w:rPr>
              <w:t>Social pedagogue in the system of inclusive education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 w:eastAsia="ru-RU"/>
              </w:rPr>
              <w:t>Almaty: Qazaq University, 2021-150 p.</w:t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30" w:afterAutospacing="0" w:after="30"/>
              <w:ind w:left="30" w:right="3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>
              <w:rPr>
                <w:color w:val="000000"/>
                <w:sz w:val="20"/>
                <w:szCs w:val="20"/>
              </w:rPr>
              <w:t>050040, г. Алматы, Масанчи 39/47, УК 4,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30" w:afterAutospacing="0" w:after="30"/>
              <w:ind w:left="30" w:right="3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философии и политологии, кабинет № 408. тел.: +8 (727) 377-33-33, вн. 2121, 2126.</w:t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30" w:afterAutospacing="0" w:after="30"/>
              <w:ind w:left="30" w:right="3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Кафедра педагогики и образовательного менеджмента, </w:t>
            </w:r>
            <w:r>
              <w:rPr>
                <w:color w:val="000000"/>
                <w:sz w:val="20"/>
                <w:szCs w:val="20"/>
              </w:rPr>
              <w:t>050040, г. Алматы, Масанчи 39/47, УК 4,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30" w:afterAutospacing="0" w:after="30"/>
              <w:ind w:left="30" w:right="30" w:hang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факультет философии и политологии, кабинет № 408. тел.: +8 (727) 377-33-33, вн. 2121, 2126.</w:t>
            </w:r>
          </w:p>
          <w:p>
            <w:pPr>
              <w:pStyle w:val="Normal"/>
              <w:widowControl w:val="false"/>
              <w:pBdr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>
            <w:pPr>
              <w:pStyle w:val="Normal"/>
              <w:widowControl w:val="false"/>
              <w:spacing w:before="0" w:after="27"/>
              <w:rPr>
                <w:sz w:val="20"/>
                <w:szCs w:val="20"/>
                <w:shd w:fill="FFFFFF" w:val="clear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hyperlink r:id="rId2">
              <w:r>
                <w:rPr>
                  <w:sz w:val="20"/>
                  <w:szCs w:val="20"/>
                  <w:shd w:fill="FFFFFF" w:val="clear"/>
                  <w:lang w:val="kk-KZ"/>
                </w:rPr>
                <w:t>http://elibrary.kaznu.kz/ru</w:t>
              </w:r>
            </w:hyperlink>
            <w:r>
              <w:rPr>
                <w:rStyle w:val="Style9"/>
                <w:sz w:val="20"/>
                <w:szCs w:val="20"/>
                <w:shd w:fill="FFFFFF" w:val="clear"/>
                <w:lang w:val="kk-KZ"/>
              </w:rPr>
              <w:t xml:space="preserve"> и т.д. </w:t>
            </w:r>
          </w:p>
        </w:tc>
      </w:tr>
    </w:tbl>
    <w:p>
      <w:pPr>
        <w:pStyle w:val="Normal"/>
        <w:widowControl w:val="false"/>
        <w:pBdr/>
        <w:spacing w:lineRule="auto" w:line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0490" w:type="dxa"/>
        <w:jc w:val="left"/>
        <w:tblInd w:w="-856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firstRow="0" w:noVBand="0" w:lastRow="0" w:firstColumn="0" w:lastColumn="0" w:noHBand="0" w:val="0000"/>
      </w:tblPr>
      <w:tblGrid>
        <w:gridCol w:w="850"/>
        <w:gridCol w:w="851"/>
        <w:gridCol w:w="283"/>
        <w:gridCol w:w="1134"/>
        <w:gridCol w:w="1843"/>
        <w:gridCol w:w="3261"/>
        <w:gridCol w:w="2267"/>
      </w:tblGrid>
      <w:tr>
        <w:trPr>
          <w:trHeight w:val="699" w:hRule="atLeas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3">
              <w:r>
                <w:rPr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Style9"/>
                <w:sz w:val="20"/>
                <w:szCs w:val="20"/>
                <w:u w:val="single"/>
              </w:rPr>
              <w:t xml:space="preserve"> и </w:t>
            </w:r>
            <w:hyperlink r:id="rId4">
              <w:r>
                <w:rPr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Style w:val="Style9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Style9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5">
              <w:r>
                <w:rPr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6">
              <w:r>
                <w:rPr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Style9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+7 7753069205/ </w:t>
            </w:r>
            <w:r>
              <w:rPr>
                <w:sz w:val="20"/>
                <w:szCs w:val="20"/>
                <w:lang w:val="en-US"/>
              </w:rPr>
              <w:t>mzhamilya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>
        <w:trPr>
          <w:trHeight w:val="58" w:hRule="atLeast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rPr>
          <w:trHeight w:val="368" w:hRule="atLeast"/>
        </w:trPr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rPr>
          <w:trHeight w:val="84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СРО.</w:t>
            </w:r>
            <w:r>
              <w:rPr>
                <w:sz w:val="16"/>
                <w:szCs w:val="16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rPr>
          <w:trHeight w:val="35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</w:r>
          </w:p>
        </w:tc>
      </w:tr>
      <w:tr>
        <w:trPr>
          <w:trHeight w:val="35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</w:r>
          </w:p>
        </w:tc>
        <w:tc>
          <w:tcPr>
            <w:tcW w:w="55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</w:r>
          </w:p>
        </w:tc>
      </w:tr>
      <w:tr>
        <w:trPr>
          <w:trHeight w:val="97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>
            <w:pPr>
              <w:pStyle w:val="Normal"/>
              <w:widowControl w:val="false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>
        <w:trPr>
          <w:trHeight w:val="13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>
        <w:trPr>
          <w:trHeight w:val="5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>
        <w:trPr>
          <w:trHeight w:val="18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>
        <w:trPr>
          <w:trHeight w:val="8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  <w:highlight w:val="green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</w:tr>
      <w:tr>
        <w:trPr>
          <w:trHeight w:val="25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>
        <w:trPr>
          <w:trHeight w:val="58" w:hRule="atLeast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276" w:leader="none"/>
              </w:tabs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</w:tc>
      </w:tr>
    </w:tbl>
    <w:tbl>
      <w:tblPr>
        <w:tblStyle w:val="af8"/>
        <w:tblW w:w="10509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1"/>
        <w:gridCol w:w="8050"/>
        <w:gridCol w:w="860"/>
        <w:gridCol w:w="727"/>
      </w:tblGrid>
      <w:tr>
        <w:trPr/>
        <w:tc>
          <w:tcPr>
            <w:tcW w:w="871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Неделя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Название темы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Кол-во часов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ind w:left="-68" w:firstLine="26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Макс.</w:t>
            </w:r>
          </w:p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>б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алл</w:t>
            </w:r>
          </w:p>
        </w:tc>
      </w:tr>
      <w:tr>
        <w:trPr/>
        <w:tc>
          <w:tcPr>
            <w:tcW w:w="10508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МОДУЛЬ 1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</w:p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851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Л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1.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Исторические и теоретические основы тьюторства: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Семинар 1. Вводное занятие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261" w:leader="none"/>
                <w:tab w:val="left" w:pos="851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2.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 xml:space="preserve">Концептуальные основы психолого-педагогического сопровождения.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kk-KZ" w:eastAsia="en-US" w:bidi="ar-SA"/>
              </w:rPr>
              <w:t xml:space="preserve"> Нормативно-правовые основы образования обучающихся с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ООП.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261" w:leader="none"/>
                <w:tab w:val="left" w:pos="851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2.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Исторические и теоретические основы тьюторства: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>РО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П 1.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Подготовьте сравнительный анализ развития тьюторства в инклюзивном образовании в Казахстане, в странах ближнего и дальнего зарубежья в схеме.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16</w:t>
            </w:r>
          </w:p>
        </w:tc>
      </w:tr>
      <w:tr>
        <w:trPr/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851" w:leader="none"/>
                <w:tab w:val="left" w:pos="1134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3.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bookmarkStart w:id="0" w:name="_Hlk145007941"/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Сущность и содержание деятельности тьютора в инклюзивном образовании.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Цели и задачи тьютора в инклюзивном образовании</w:t>
            </w:r>
            <w:bookmarkEnd w:id="0"/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3.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 xml:space="preserve">Концептуальные основы психолого-педагогического сопровождения.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kk-KZ" w:eastAsia="en-US" w:bidi="ar-SA"/>
              </w:rPr>
              <w:t xml:space="preserve"> Нормативно-правовые основы образования обучающихся с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ООП.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СРО 1.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Составьте глоссарий по теме.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12</w:t>
            </w:r>
          </w:p>
        </w:tc>
      </w:tr>
      <w:tr>
        <w:trPr/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851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4.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Тьютор как субъект инклюзивного образования. Взаимоотношение субъектов инклюзивного образования: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4.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Сущность и содержание деятельности тьютора в инклюзивном образовании.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Цели и задачи тьютора в инклюзивном образовании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5.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Основные этапы организации тьюторского сопровождения в инклюзивной практике: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5.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Тьютор как субъект инклюзивного образования. Взаимоотношение субъектов инклюзивного образования::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10508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МОДУЛЬ 2 </w:t>
            </w:r>
          </w:p>
        </w:tc>
      </w:tr>
      <w:tr>
        <w:trPr/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6.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Участие тьютора в разработке адаптированной образовательной программы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6.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Основные этапы организации тьюторского сопровождения в инклюзивной практике: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>РОП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 2.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Консультации по выполнению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СРО 2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12" w:hRule="atLeast"/>
        </w:trPr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7.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Организация тьютором взаимодействия детей в классе (группе) </w:t>
            </w:r>
            <w:bookmarkStart w:id="1" w:name="_GoBack"/>
            <w:bookmarkEnd w:id="1"/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7.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Участие тьютора в разработке адаптированной образовательной программы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СРО 2.  1.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Подготовьте презентацию на тему: «Тьютор в системе инклюзивного образования».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 xml:space="preserve"> 2.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Ментальная карта по данной теме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US" w:eastAsia="en-US" w:bidi="ar-SA"/>
              </w:rPr>
              <w:t>16</w:t>
            </w:r>
          </w:p>
        </w:tc>
      </w:tr>
      <w:tr>
        <w:trPr/>
        <w:tc>
          <w:tcPr>
            <w:tcW w:w="978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>Рубежный контроль 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>100</w:t>
            </w:r>
          </w:p>
        </w:tc>
      </w:tr>
      <w:tr>
        <w:trPr/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8.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Специфика работы тьютора с «дважды особенными» одаренными детьми в инклюзивной среде: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8.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Организация тьютором взаимодействия детей в классе (группе)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>РО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П 3. 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Подготовьте педагогические задачи по пройденному материалу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77" w:hRule="atLeast"/>
        </w:trPr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9.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Взаимодействие тьютора с родителями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9.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Специфика работы тьютора с «дважды особенными» одаренными детьми в инклюзивной среде: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СРО 2.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Разработайте программу тренинга по работе тьютора с родителями в условиях инклюзивного образования. Компетенции вмешательства.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</w:tr>
      <w:tr>
        <w:trPr>
          <w:trHeight w:val="440" w:hRule="atLeast"/>
        </w:trPr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Л10.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Формы тьюторского сопровождения. Методы и приемы тьюторского сопровождения.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10.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Взаимодействие тьютора с родителями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>
          <w:trHeight w:val="171" w:hRule="atLeast"/>
        </w:trPr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>РОП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 4.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Консультация по выполнению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C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РО 3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0508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МОДУЛЬ 3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</w:p>
        </w:tc>
      </w:tr>
      <w:tr>
        <w:trPr/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11.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Компетентность тьютора в инклюзивном образовании.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11.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Формы тьюторского сопровождения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.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Методы и приемы тьюторского сопровождения.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СРО 3.  </w:t>
            </w: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Подготовьте педагогические задачи по данной теме.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Л12.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Особенности и условия эффективного сопровождения тьютором детей </w:t>
            </w:r>
          </w:p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с ограниченными возможностями здоровья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12.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Компетентность тьютора в инклюзивном образовании.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>
          <w:trHeight w:val="530" w:hRule="atLeast"/>
        </w:trPr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13.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Особенности сопровождения детей с нарушениями зрения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Особенности сопровождения детей с нарушениями слуха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СЗ 13.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Особенности и условия эффективного сопровождения тьютором детей </w:t>
            </w:r>
          </w:p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с ограниченными возможностями здоровья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С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>РО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П 5.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Разработайте рекомендации на тему: «Психолого-педагогическая готовность участников инклюзивных школ к общению с детьми с ОВ». Подготовьте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  <w:t>SWOT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 анализ.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14.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Особенности сопровождения детей с нарушениями опорно-двигательного </w:t>
            </w:r>
          </w:p>
          <w:p>
            <w:pPr>
              <w:pStyle w:val="Normal"/>
              <w:widowControl/>
              <w:tabs>
                <w:tab w:val="clear" w:pos="720"/>
                <w:tab w:val="left" w:pos="851" w:leader="none"/>
              </w:tabs>
              <w:spacing w:before="0" w:after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аппарата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СЗ 14.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Особенности сопровождения детей с нарушениями зрения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Особенности сопровождения детей с нарушениями слуха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Л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15.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 xml:space="preserve">Особенности сопровождения детей с синдромом дефицита внимания </w:t>
            </w:r>
          </w:p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и гиперактивностью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eastAsia="en-US" w:bidi="ar-SA"/>
              </w:rPr>
              <w:t>СЗ 15.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kk-KZ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Особенности сопровождения детей с нарушениями опорно-двигательного аппарата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 xml:space="preserve">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Особенности сопровождения детей с синдромом дефицита внимания и гиперактивностью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8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05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СРО 4.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Защита портфолио на тему: «</w:t>
            </w:r>
            <w:r>
              <w:rPr>
                <w:rFonts w:eastAsia="Calibri" w:cs="Times New Roman"/>
                <w:bCs/>
                <w:kern w:val="0"/>
                <w:sz w:val="20"/>
                <w:szCs w:val="20"/>
                <w:lang w:val="kk-KZ" w:eastAsia="en-US" w:bidi="ar-SA"/>
              </w:rPr>
              <w:t>Тьютор в инклюзивном образовании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en-US" w:bidi="ar-SA"/>
              </w:rPr>
              <w:t>».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27" w:type="dxa"/>
            <w:tcBorders/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9781" w:type="dxa"/>
            <w:gridSpan w:val="3"/>
            <w:tcBorders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kk-KZ" w:eastAsia="en-US" w:bidi="ar-SA"/>
              </w:rPr>
              <w:t>Рубежный контроль 2</w:t>
            </w:r>
          </w:p>
        </w:tc>
        <w:tc>
          <w:tcPr>
            <w:tcW w:w="727" w:type="dxa"/>
            <w:tcBorders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9781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Итоговый контроль (экзамен)</w:t>
            </w:r>
          </w:p>
        </w:tc>
        <w:tc>
          <w:tcPr>
            <w:tcW w:w="7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9781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ИТОГО за дисциплину</w:t>
            </w:r>
          </w:p>
        </w:tc>
        <w:tc>
          <w:tcPr>
            <w:tcW w:w="72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tabs>
                <w:tab w:val="clear" w:pos="720"/>
                <w:tab w:val="left" w:pos="1276" w:leader="none"/>
              </w:tabs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ru-RU" w:eastAsia="en-US" w:bidi="ar-SA"/>
              </w:rPr>
              <w:t>100</w:t>
            </w:r>
          </w:p>
        </w:tc>
      </w:tr>
    </w:tbl>
    <w:p>
      <w:pPr>
        <w:pStyle w:val="Normal"/>
        <w:tabs>
          <w:tab w:val="clear" w:pos="720"/>
          <w:tab w:val="left" w:pos="1276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Декан     ___________________________________ </w:t>
      </w:r>
      <w:r>
        <w:rPr>
          <w:sz w:val="20"/>
          <w:szCs w:val="20"/>
        </w:rPr>
        <w:t>Мейрбаев Б.Б.</w:t>
      </w:r>
    </w:p>
    <w:p>
      <w:pPr>
        <w:pStyle w:val="Normal"/>
        <w:spacing w:before="0" w:after="12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</w:p>
    <w:p>
      <w:pPr>
        <w:pStyle w:val="Normal"/>
        <w:spacing w:before="0" w:after="12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______________________</w:t>
      </w:r>
      <w:r>
        <w:rPr>
          <w:bCs/>
          <w:sz w:val="20"/>
          <w:szCs w:val="20"/>
        </w:rPr>
        <w:t>Алгожаева Н.С.</w:t>
      </w:r>
    </w:p>
    <w:p>
      <w:pPr>
        <w:pStyle w:val="Normal"/>
        <w:spacing w:before="0" w:after="12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type w:val="nextPage"/>
          <w:pgSz w:w="11906" w:h="16838"/>
          <w:pgMar w:left="1701" w:right="850" w:gutter="0" w:header="0" w:top="568" w:footer="0" w:bottom="1418"/>
          <w:pgNumType w:start="1" w:fmt="decimal"/>
          <w:formProt w:val="false"/>
          <w:textDirection w:val="lrTb"/>
          <w:docGrid w:type="default" w:linePitch="100" w:charSpace="0"/>
        </w:sectPr>
        <w:pStyle w:val="Normal"/>
        <w:spacing w:before="0" w:after="120"/>
        <w:rPr>
          <w:sz w:val="20"/>
          <w:szCs w:val="20"/>
          <w:lang w:val="kk-KZ"/>
        </w:rPr>
      </w:pPr>
      <w:r>
        <w:rPr>
          <w:b/>
          <w:sz w:val="20"/>
          <w:szCs w:val="20"/>
        </w:rPr>
        <w:t>Лектор ___________________________________</w:t>
      </w:r>
      <w:r>
        <w:rPr>
          <w:bCs/>
          <w:sz w:val="20"/>
          <w:szCs w:val="20"/>
        </w:rPr>
        <w:t>Махамбетова Ж.Т.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568" w:right="1418" w:gutter="0" w:header="0" w:top="850" w:footer="0" w:bottom="1701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sz w:val="2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sz w:val="2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  <w:rPr>
        <w:sz w:val="2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sz w:val="2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sz w:val="2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  <w:rPr>
        <w:sz w:val="20"/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f6"/>
    <w:uiPriority w:val="99"/>
    <w:semiHidden/>
    <w:qFormat/>
    <w:rsid w:val="00ef2040"/>
    <w:rPr>
      <w:rFonts w:ascii="Segoe UI" w:hAnsi="Segoe UI" w:cs="Segoe UI"/>
      <w:sz w:val="18"/>
      <w:szCs w:val="18"/>
    </w:rPr>
  </w:style>
  <w:style w:type="character" w:styleId="Style9">
    <w:name w:val="Интернет-ссылка"/>
    <w:uiPriority w:val="99"/>
    <w:rsid w:val="00293058"/>
    <w:rPr>
      <w:rFonts w:cs="Times New Roman"/>
      <w:color w:val="auto"/>
      <w:u w:val="none"/>
      <w:effect w:val="none"/>
    </w:rPr>
  </w:style>
  <w:style w:type="character" w:styleId="Style10" w:customStyle="1">
    <w:name w:val="Верхний колонтитул Знак"/>
    <w:basedOn w:val="DefaultParagraphFont"/>
    <w:link w:val="afa"/>
    <w:uiPriority w:val="99"/>
    <w:qFormat/>
    <w:rsid w:val="004c6a23"/>
    <w:rPr/>
  </w:style>
  <w:style w:type="character" w:styleId="Style11" w:customStyle="1">
    <w:name w:val="Нижний колонтитул Знак"/>
    <w:basedOn w:val="DefaultParagraphFont"/>
    <w:link w:val="afc"/>
    <w:uiPriority w:val="99"/>
    <w:qFormat/>
    <w:rsid w:val="004c6a23"/>
    <w:rPr/>
  </w:style>
  <w:style w:type="character" w:styleId="Style12" w:customStyle="1">
    <w:name w:val="Абзац списка Знак"/>
    <w:link w:val="afe"/>
    <w:uiPriority w:val="34"/>
    <w:qFormat/>
    <w:locked/>
    <w:rsid w:val="00662a00"/>
    <w:rPr/>
  </w:style>
  <w:style w:type="character" w:styleId="Contentcontrolboundarysink" w:customStyle="1">
    <w:name w:val="contentcontrolboundarysink"/>
    <w:basedOn w:val="DefaultParagraphFont"/>
    <w:qFormat/>
    <w:rsid w:val="00180af4"/>
    <w:rPr/>
  </w:style>
  <w:style w:type="character" w:styleId="Normaltextrun" w:customStyle="1">
    <w:name w:val="normaltextrun"/>
    <w:basedOn w:val="DefaultParagraphFont"/>
    <w:qFormat/>
    <w:rsid w:val="00180af4"/>
    <w:rPr/>
  </w:style>
  <w:style w:type="character" w:styleId="Eop" w:customStyle="1">
    <w:name w:val="eop"/>
    <w:basedOn w:val="DefaultParagraphFont"/>
    <w:qFormat/>
    <w:rsid w:val="00180af4"/>
    <w:rPr/>
  </w:style>
  <w:style w:type="character" w:styleId="Novaetext" w:customStyle="1">
    <w:name w:val="nova-e-text"/>
    <w:qFormat/>
    <w:rsid w:val="00131a4f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Paragraph" w:customStyle="1">
    <w:name w:val="paragraph"/>
    <w:basedOn w:val="Normal"/>
    <w:qFormat/>
    <w:rsid w:val="004947f8"/>
    <w:pPr>
      <w:spacing w:beforeAutospacing="1" w:afterAutospacing="1"/>
    </w:pPr>
    <w:rPr>
      <w:lang w:eastAsia="ru-RU"/>
    </w:rPr>
  </w:style>
  <w:style w:type="paragraph" w:styleId="Style18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9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f7"/>
    <w:uiPriority w:val="99"/>
    <w:semiHidden/>
    <w:unhideWhenUsed/>
    <w:qFormat/>
    <w:rsid w:val="00ef2040"/>
    <w:pPr/>
    <w:rPr>
      <w:rFonts w:ascii="Segoe UI" w:hAnsi="Segoe UI" w:cs="Segoe UI"/>
      <w:sz w:val="18"/>
      <w:szCs w:val="18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fb"/>
    <w:uiPriority w:val="99"/>
    <w:unhideWhenUsed/>
    <w:rsid w:val="004c6a2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fd"/>
    <w:uiPriority w:val="99"/>
    <w:unhideWhenUsed/>
    <w:rsid w:val="004c6a2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ff"/>
    <w:uiPriority w:val="34"/>
    <w:qFormat/>
    <w:rsid w:val="004c6a2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fd0fa8"/>
    <w:pPr>
      <w:spacing w:beforeAutospacing="1" w:afterAutospacing="1"/>
    </w:pPr>
    <w:rPr>
      <w:lang w:eastAsia="ru-RU"/>
    </w:rPr>
  </w:style>
  <w:style w:type="paragraph" w:styleId="NoSpacing">
    <w:name w:val="No Spacing"/>
    <w:qFormat/>
    <w:rsid w:val="001935bf"/>
    <w:pPr>
      <w:widowControl/>
      <w:suppressAutoHyphens w:val="true"/>
      <w:bidi w:val="0"/>
      <w:spacing w:before="0" w:after="0"/>
      <w:jc w:val="both"/>
    </w:pPr>
    <w:rPr>
      <w:rFonts w:ascii="Calibri" w:hAnsi="Calibri" w:cs="Calibri" w:eastAsia="Times New Roman"/>
      <w:color w:val="auto"/>
      <w:kern w:val="0"/>
      <w:sz w:val="20"/>
      <w:szCs w:val="20"/>
      <w:lang w:eastAsia="zh-CN" w:val="ru-RU" w:bidi="ar-SA"/>
    </w:rPr>
  </w:style>
  <w:style w:type="paragraph" w:styleId="Default" w:customStyle="1">
    <w:name w:val="Default"/>
    <w:qFormat/>
    <w:rsid w:val="00ae48b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K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d36d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library.kaznu.kz/ru" TargetMode="External"/><Relationship Id="rId3" Type="http://schemas.openxmlformats.org/officeDocument/2006/relationships/hyperlink" Target="https://univer.kaznu.kz/Content/instructions/&#1040;&#1082;&#1072;&#1076;&#1077;&#1084;&#1080;&#1095;&#1077;&#1089;&#1082;&#1072;&#1103; &#1087;&#1086;&#1083;&#1080;&#1090;&#1080;&#1082;&#1072;.pdf" TargetMode="External"/><Relationship Id="rId4" Type="http://schemas.openxmlformats.org/officeDocument/2006/relationships/hyperlink" Target="https://univer.kaznu.kz/Content/instructions/&#1055;&#1086;&#1083;&#1080;&#1090;&#1080;&#1082;&#1072; &#1072;&#1082;&#1072;&#1076;&#1077;&#1084;&#1080;&#1095;&#1077;&#1089;&#1082;&#1086;&#1081; &#1095;&#1077;&#1089;&#1090;&#1085;&#1086;&#1089;&#1090;&#1080;.pdf" TargetMode="External"/><Relationship Id="rId5" Type="http://schemas.openxmlformats.org/officeDocument/2006/relationships/hyperlink" Target="https://univer.kaznu.kz/Content/instructions/&#1055;&#1088;&#1072;&#1074;&#1080;&#1083;&#1072; &#1087;&#1088;&#1086;&#1074;&#1077;&#1076;&#1077;&#1085;&#1080;&#1103; &#1080;&#1090;&#1086;&#1075;&#1086;&#1074;&#1086;&#1075;&#1086; &#1082;&#1086;&#1085;&#1090;&#1088;&#1086;&#1083;&#1103; &#1051;&#1069;&#1057; 2022-2023 &#1091;&#1095;&#1075;&#1086;&#1076; &#1088;&#1091;&#1089;&#1103;&#1079;&#1099;&#1082;&#1077;.pdf" TargetMode="External"/><Relationship Id="rId6" Type="http://schemas.openxmlformats.org/officeDocument/2006/relationships/hyperlink" Target="https://univer.kaznu.kz/Content/instructions/&#1048;&#1085;&#1089;&#1090;&#1088;&#1091;&#1082;&#1094;&#1080;&#1103; &#1076;&#1083;&#1103; &#1080;&#1090;&#1086;&#1075;&#1086;&#1074;&#1086;&#1075;&#1086; &#1082;&#1086;&#1085;&#1090;&#1088;&#1086;&#1083;&#1103; &#1074;&#1077;&#1089;&#1077;&#1085;&#1085;&#1077;&#1075;&#1086; &#1089;&#1077;&#1084;&#1077;&#1089;&#1090;&#1088;&#1072; 2022-2023.pdf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LibreOffice/7.2.4.1$Windows_X86_64 LibreOffice_project/27d75539669ac387bb498e35313b970b7fe9c4f9</Application>
  <AppVersion>15.0000</AppVersion>
  <Pages>5</Pages>
  <Words>1682</Words>
  <Characters>11861</Characters>
  <CharactersWithSpaces>13613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2023-08-21T16:36:00Z</dcterms:created>
  <dc:creator>Амирбекова Гулмира</dc:creator>
  <dc:description/>
  <dc:language>ru-RU</dc:language>
  <cp:lastModifiedBy/>
  <cp:lastPrinted>2023-09-07T14:51:00Z</cp:lastPrinted>
  <dcterms:modified xsi:type="dcterms:W3CDTF">2023-09-08T17:12:13Z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